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38" w:rsidRDefault="002F3238" w:rsidP="002F3238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color w:val="272727"/>
          <w:sz w:val="24"/>
          <w:szCs w:val="24"/>
        </w:rPr>
      </w:pPr>
      <w:r>
        <w:rPr>
          <w:rFonts w:ascii="Arial-BoldMT" w:hAnsi="Arial-BoldMT" w:cs="Arial-BoldMT"/>
          <w:b/>
          <w:bCs/>
          <w:color w:val="272727"/>
          <w:sz w:val="24"/>
          <w:szCs w:val="24"/>
        </w:rPr>
        <w:t>ANEXO RP-13 - REPASSES AO TERCEIRO SETOR - TERMO DE CIÊNCIA</w:t>
      </w:r>
    </w:p>
    <w:p w:rsidR="002F3238" w:rsidRDefault="002F3238" w:rsidP="002F323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272727"/>
          <w:sz w:val="24"/>
          <w:szCs w:val="24"/>
        </w:rPr>
      </w:pPr>
      <w:r>
        <w:rPr>
          <w:rFonts w:ascii="Arial-BoldMT" w:hAnsi="Arial-BoldMT" w:cs="Arial-BoldMT"/>
          <w:b/>
          <w:bCs/>
          <w:color w:val="272727"/>
          <w:sz w:val="24"/>
          <w:szCs w:val="24"/>
        </w:rPr>
        <w:t>E DE NOTIFICAÇÃO - AUXÍLIOS/SUBVENÇÕES/CONTRIBUIÇÕES</w:t>
      </w:r>
    </w:p>
    <w:p w:rsidR="002F3238" w:rsidRDefault="002F3238" w:rsidP="002F3238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(utilização apenas para os repasses anteriores à edição da LF</w:t>
      </w:r>
    </w:p>
    <w:p w:rsidR="002F3238" w:rsidRDefault="002F3238" w:rsidP="002F3238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13019/2014 atualizada)</w:t>
      </w:r>
      <w:proofErr w:type="gramEnd"/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</w:p>
    <w:p w:rsidR="002F3238" w:rsidRDefault="002F3238" w:rsidP="002F32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  <w:r w:rsidRPr="0045001A">
        <w:rPr>
          <w:rFonts w:ascii="ArialMT" w:hAnsi="ArialMT" w:cs="ArialMT"/>
          <w:b/>
          <w:color w:val="272727"/>
          <w:sz w:val="24"/>
          <w:szCs w:val="24"/>
        </w:rPr>
        <w:t xml:space="preserve">ÓRGÃO/ENTIDADE </w:t>
      </w:r>
      <w:r w:rsidR="00255739" w:rsidRPr="0045001A">
        <w:rPr>
          <w:rFonts w:ascii="ArialMT" w:hAnsi="ArialMT" w:cs="ArialMT"/>
          <w:b/>
          <w:color w:val="272727"/>
          <w:sz w:val="24"/>
          <w:szCs w:val="24"/>
        </w:rPr>
        <w:t>PÚBLICO (</w:t>
      </w:r>
      <w:r w:rsidRPr="0045001A">
        <w:rPr>
          <w:rFonts w:ascii="ArialMT" w:hAnsi="ArialMT" w:cs="ArialMT"/>
          <w:b/>
          <w:color w:val="272727"/>
          <w:sz w:val="24"/>
          <w:szCs w:val="24"/>
        </w:rPr>
        <w:t>A):</w:t>
      </w:r>
      <w:r>
        <w:rPr>
          <w:rFonts w:ascii="ArialMT" w:hAnsi="ArialMT" w:cs="ArialMT"/>
          <w:color w:val="272727"/>
          <w:sz w:val="24"/>
          <w:szCs w:val="24"/>
        </w:rPr>
        <w:t xml:space="preserve"> </w:t>
      </w:r>
      <w:r w:rsidR="0045001A">
        <w:rPr>
          <w:rFonts w:ascii="ArialMT" w:hAnsi="ArialMT" w:cs="ArialMT"/>
          <w:color w:val="272727"/>
          <w:sz w:val="24"/>
          <w:szCs w:val="24"/>
        </w:rPr>
        <w:t>Prefeitura Municipal de Santo André</w:t>
      </w:r>
    </w:p>
    <w:p w:rsidR="002F3238" w:rsidRDefault="002F3238" w:rsidP="002F32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  <w:r w:rsidRPr="0045001A">
        <w:rPr>
          <w:rFonts w:ascii="ArialMT" w:hAnsi="ArialMT" w:cs="ArialMT"/>
          <w:b/>
          <w:color w:val="272727"/>
          <w:sz w:val="24"/>
          <w:szCs w:val="24"/>
        </w:rPr>
        <w:t>ENTIDADE BENEFICIÁRIA:</w:t>
      </w:r>
      <w:r w:rsidR="0045001A">
        <w:rPr>
          <w:rFonts w:ascii="ArialMT" w:hAnsi="ArialMT" w:cs="ArialMT"/>
          <w:color w:val="272727"/>
          <w:sz w:val="24"/>
          <w:szCs w:val="24"/>
        </w:rPr>
        <w:t xml:space="preserve"> Sociedade </w:t>
      </w:r>
      <w:proofErr w:type="spellStart"/>
      <w:r w:rsidR="0045001A">
        <w:rPr>
          <w:rFonts w:ascii="ArialMT" w:hAnsi="ArialMT" w:cs="ArialMT"/>
          <w:color w:val="272727"/>
          <w:sz w:val="24"/>
          <w:szCs w:val="24"/>
        </w:rPr>
        <w:t>Orquidófila</w:t>
      </w:r>
      <w:proofErr w:type="spellEnd"/>
      <w:r w:rsidR="0045001A">
        <w:rPr>
          <w:rFonts w:ascii="ArialMT" w:hAnsi="ArialMT" w:cs="ArialMT"/>
          <w:color w:val="272727"/>
          <w:sz w:val="24"/>
          <w:szCs w:val="24"/>
        </w:rPr>
        <w:t xml:space="preserve"> de Santo André</w:t>
      </w:r>
    </w:p>
    <w:p w:rsidR="002F3238" w:rsidRDefault="002F3238" w:rsidP="002F32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  <w:r w:rsidRPr="0045001A">
        <w:rPr>
          <w:rFonts w:ascii="ArialMT" w:hAnsi="ArialMT" w:cs="ArialMT"/>
          <w:b/>
          <w:color w:val="272727"/>
          <w:sz w:val="24"/>
          <w:szCs w:val="24"/>
        </w:rPr>
        <w:t>AUXÍLIO/SUBVENÇÃO/CONTRIBUIÇÃO:</w:t>
      </w:r>
      <w:r>
        <w:rPr>
          <w:rFonts w:ascii="ArialMT" w:hAnsi="ArialMT" w:cs="ArialMT"/>
          <w:color w:val="272727"/>
          <w:sz w:val="24"/>
          <w:szCs w:val="24"/>
        </w:rPr>
        <w:t xml:space="preserve"> </w:t>
      </w:r>
      <w:r w:rsidR="0045001A">
        <w:rPr>
          <w:rFonts w:ascii="ArialMT" w:hAnsi="ArialMT" w:cs="ArialMT"/>
          <w:color w:val="272727"/>
          <w:sz w:val="24"/>
          <w:szCs w:val="24"/>
        </w:rPr>
        <w:t>R$ 33.000,00 (Trinta e Três Mil Reais).</w:t>
      </w:r>
    </w:p>
    <w:p w:rsidR="002F3238" w:rsidRDefault="002F3238" w:rsidP="002F32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  <w:r w:rsidRPr="0045001A">
        <w:rPr>
          <w:rFonts w:ascii="ArialMT" w:hAnsi="ArialMT" w:cs="ArialMT"/>
          <w:b/>
          <w:color w:val="272727"/>
          <w:sz w:val="24"/>
          <w:szCs w:val="24"/>
        </w:rPr>
        <w:t>N° DA LEI AUTORIZADORA:</w:t>
      </w:r>
      <w:r w:rsidR="0045001A">
        <w:rPr>
          <w:rFonts w:ascii="ArialMT" w:hAnsi="ArialMT" w:cs="ArialMT"/>
          <w:color w:val="272727"/>
          <w:sz w:val="24"/>
          <w:szCs w:val="24"/>
        </w:rPr>
        <w:t xml:space="preserve"> Lei nº 8823/2006 alterada pela lei nº 10.233/2019.</w:t>
      </w:r>
    </w:p>
    <w:p w:rsidR="002F3238" w:rsidRDefault="002F3238" w:rsidP="002F32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  <w:r w:rsidRPr="0045001A">
        <w:rPr>
          <w:rFonts w:ascii="ArialMT" w:hAnsi="ArialMT" w:cs="ArialMT"/>
          <w:b/>
          <w:color w:val="272727"/>
          <w:sz w:val="24"/>
          <w:szCs w:val="24"/>
        </w:rPr>
        <w:t>OBJETO:</w:t>
      </w:r>
      <w:r>
        <w:rPr>
          <w:rFonts w:ascii="ArialMT" w:hAnsi="ArialMT" w:cs="ArialMT"/>
          <w:color w:val="272727"/>
          <w:sz w:val="24"/>
          <w:szCs w:val="24"/>
        </w:rPr>
        <w:t xml:space="preserve"> </w:t>
      </w:r>
      <w:r w:rsidR="0045001A">
        <w:rPr>
          <w:rFonts w:ascii="ArialMT" w:hAnsi="ArialMT" w:cs="ArialMT"/>
          <w:color w:val="272727"/>
          <w:sz w:val="24"/>
          <w:szCs w:val="24"/>
        </w:rPr>
        <w:t xml:space="preserve">Divulgação da </w:t>
      </w:r>
      <w:proofErr w:type="spellStart"/>
      <w:r w:rsidR="0045001A">
        <w:rPr>
          <w:rFonts w:ascii="ArialMT" w:hAnsi="ArialMT" w:cs="ArialMT"/>
          <w:color w:val="272727"/>
          <w:sz w:val="24"/>
          <w:szCs w:val="24"/>
        </w:rPr>
        <w:t>Orquidofilia</w:t>
      </w:r>
      <w:proofErr w:type="spellEnd"/>
    </w:p>
    <w:p w:rsidR="002F3238" w:rsidRDefault="002F3238" w:rsidP="002F32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  <w:r w:rsidRPr="0045001A">
        <w:rPr>
          <w:rFonts w:ascii="ArialMT" w:hAnsi="ArialMT" w:cs="ArialMT"/>
          <w:b/>
          <w:color w:val="272727"/>
          <w:sz w:val="24"/>
          <w:szCs w:val="24"/>
        </w:rPr>
        <w:t>VALOR REPASSADO:</w:t>
      </w:r>
      <w:r w:rsidR="0045001A">
        <w:rPr>
          <w:rFonts w:ascii="ArialMT" w:hAnsi="ArialMT" w:cs="ArialMT"/>
          <w:color w:val="272727"/>
          <w:sz w:val="24"/>
          <w:szCs w:val="24"/>
        </w:rPr>
        <w:t xml:space="preserve"> R$ 33.000,00 </w:t>
      </w:r>
      <w:proofErr w:type="gramStart"/>
      <w:r w:rsidR="0045001A">
        <w:rPr>
          <w:rFonts w:ascii="ArialMT" w:hAnsi="ArialMT" w:cs="ArialMT"/>
          <w:color w:val="272727"/>
          <w:sz w:val="24"/>
          <w:szCs w:val="24"/>
        </w:rPr>
        <w:t xml:space="preserve">( </w:t>
      </w:r>
      <w:proofErr w:type="gramEnd"/>
      <w:r w:rsidR="0045001A">
        <w:rPr>
          <w:rFonts w:ascii="ArialMT" w:hAnsi="ArialMT" w:cs="ArialMT"/>
          <w:color w:val="272727"/>
          <w:sz w:val="24"/>
          <w:szCs w:val="24"/>
        </w:rPr>
        <w:t>Trinta e Três Mil Reais)</w:t>
      </w:r>
      <w:r>
        <w:rPr>
          <w:rFonts w:ascii="ArialMT" w:hAnsi="ArialMT" w:cs="ArialMT"/>
          <w:color w:val="272727"/>
          <w:sz w:val="24"/>
          <w:szCs w:val="24"/>
        </w:rPr>
        <w:t xml:space="preserve"> </w:t>
      </w:r>
    </w:p>
    <w:p w:rsidR="002F3238" w:rsidRDefault="002F3238" w:rsidP="002F32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  <w:r w:rsidRPr="0045001A">
        <w:rPr>
          <w:rFonts w:ascii="ArialMT" w:hAnsi="ArialMT" w:cs="ArialMT"/>
          <w:b/>
          <w:color w:val="272727"/>
          <w:sz w:val="24"/>
          <w:szCs w:val="24"/>
        </w:rPr>
        <w:t>EXERCÍCIO:</w:t>
      </w:r>
      <w:r>
        <w:rPr>
          <w:rFonts w:ascii="ArialMT" w:hAnsi="ArialMT" w:cs="ArialMT"/>
          <w:color w:val="272727"/>
          <w:sz w:val="24"/>
          <w:szCs w:val="24"/>
        </w:rPr>
        <w:t xml:space="preserve"> </w:t>
      </w:r>
      <w:r w:rsidR="0045001A">
        <w:rPr>
          <w:rFonts w:ascii="ArialMT" w:hAnsi="ArialMT" w:cs="ArialMT"/>
          <w:color w:val="272727"/>
          <w:sz w:val="24"/>
          <w:szCs w:val="24"/>
        </w:rPr>
        <w:t xml:space="preserve">2021 </w:t>
      </w:r>
    </w:p>
    <w:p w:rsidR="002F3238" w:rsidRDefault="002F3238" w:rsidP="0045001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  <w:r w:rsidRPr="0045001A">
        <w:rPr>
          <w:rFonts w:ascii="ArialMT" w:hAnsi="ArialMT" w:cs="ArialMT"/>
          <w:b/>
          <w:color w:val="272727"/>
          <w:sz w:val="24"/>
          <w:szCs w:val="24"/>
        </w:rPr>
        <w:t>ADVOGADO(S</w:t>
      </w:r>
      <w:proofErr w:type="gramStart"/>
      <w:r w:rsidRPr="0045001A">
        <w:rPr>
          <w:rFonts w:ascii="ArialMT" w:hAnsi="ArialMT" w:cs="ArialMT"/>
          <w:b/>
          <w:color w:val="272727"/>
          <w:sz w:val="24"/>
          <w:szCs w:val="24"/>
        </w:rPr>
        <w:t>)</w:t>
      </w:r>
      <w:proofErr w:type="gramEnd"/>
      <w:r w:rsidRPr="0045001A">
        <w:rPr>
          <w:rFonts w:ascii="ArialMT" w:hAnsi="ArialMT" w:cs="ArialMT"/>
          <w:b/>
          <w:color w:val="272727"/>
          <w:sz w:val="24"/>
          <w:szCs w:val="24"/>
        </w:rPr>
        <w:t>/ Nº OAB / E-MAIL :</w:t>
      </w:r>
      <w:r>
        <w:rPr>
          <w:rFonts w:ascii="ArialMT" w:hAnsi="ArialMT" w:cs="ArialMT"/>
          <w:color w:val="272727"/>
          <w:sz w:val="24"/>
          <w:szCs w:val="24"/>
        </w:rPr>
        <w:t xml:space="preserve"> (*) </w:t>
      </w:r>
    </w:p>
    <w:p w:rsidR="0045001A" w:rsidRDefault="0045001A" w:rsidP="0045001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Pelo presente TERMO, nós, abaixo identificados: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</w:p>
    <w:p w:rsidR="002F3238" w:rsidRDefault="002F3238" w:rsidP="002F32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72727"/>
          <w:sz w:val="24"/>
          <w:szCs w:val="24"/>
        </w:rPr>
      </w:pPr>
      <w:r>
        <w:rPr>
          <w:rFonts w:ascii="Arial-BoldMT" w:hAnsi="Arial-BoldMT" w:cs="Arial-BoldMT"/>
          <w:b/>
          <w:bCs/>
          <w:color w:val="272727"/>
          <w:sz w:val="24"/>
          <w:szCs w:val="24"/>
        </w:rPr>
        <w:t>1. Estamos CIENTES de que:</w:t>
      </w:r>
    </w:p>
    <w:p w:rsidR="002F3238" w:rsidRDefault="002F3238" w:rsidP="002F32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a) o processo de prestação de contas estará sujeito </w:t>
      </w:r>
      <w:proofErr w:type="gramStart"/>
      <w:r>
        <w:rPr>
          <w:rFonts w:ascii="ArialMT" w:hAnsi="ArialMT" w:cs="ArialMT"/>
          <w:color w:val="272727"/>
          <w:sz w:val="24"/>
          <w:szCs w:val="24"/>
        </w:rPr>
        <w:t>a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 xml:space="preserve"> análise e julgamento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pelo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 xml:space="preserve"> Tribunal de Contas do Estado de São Paulo, cujo trâmite processual</w:t>
      </w:r>
    </w:p>
    <w:p w:rsidR="002F3238" w:rsidRDefault="002F3238" w:rsidP="002F32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ocorrerá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 xml:space="preserve"> pelo sistema eletrônico;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b) poderemos ter acesso ao processo, tendo vista e extraindo cópias </w:t>
      </w:r>
      <w:proofErr w:type="gramStart"/>
      <w:r>
        <w:rPr>
          <w:rFonts w:ascii="ArialMT" w:hAnsi="ArialMT" w:cs="ArialMT"/>
          <w:color w:val="272727"/>
          <w:sz w:val="24"/>
          <w:szCs w:val="24"/>
        </w:rPr>
        <w:t>das</w:t>
      </w:r>
      <w:proofErr w:type="gramEnd"/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manifestações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 xml:space="preserve"> de interesse, Despachos e Decisões, mediante regular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cadastramento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 xml:space="preserve"> no Sistema de Processo Eletrônico, conforme dados abaixo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indicados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>, em consonância com o estabelecido na Resolução nº 01/2011 do</w:t>
      </w:r>
    </w:p>
    <w:p w:rsidR="002F3238" w:rsidRDefault="002F3238" w:rsidP="002F32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TCESP;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c) além de disponíveis no processo eletrônico, todos os Despachos </w:t>
      </w:r>
      <w:proofErr w:type="gramStart"/>
      <w:r>
        <w:rPr>
          <w:rFonts w:ascii="ArialMT" w:hAnsi="ArialMT" w:cs="ArialMT"/>
          <w:color w:val="272727"/>
          <w:sz w:val="24"/>
          <w:szCs w:val="24"/>
        </w:rPr>
        <w:t>e</w:t>
      </w:r>
      <w:proofErr w:type="gramEnd"/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Decisões que vierem a ser tomados, relativamente ao aludido processo, </w:t>
      </w:r>
      <w:proofErr w:type="gramStart"/>
      <w:r>
        <w:rPr>
          <w:rFonts w:ascii="ArialMT" w:hAnsi="ArialMT" w:cs="ArialMT"/>
          <w:color w:val="272727"/>
          <w:sz w:val="24"/>
          <w:szCs w:val="24"/>
        </w:rPr>
        <w:t>serão</w:t>
      </w:r>
      <w:proofErr w:type="gramEnd"/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publicados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 xml:space="preserve"> no Diário Oficial do Estado, Caderno do Poder Legislativo, parte do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Tribunal de Contas do Estado de São Paulo, em conformidade com o artigo </w:t>
      </w:r>
      <w:proofErr w:type="gramStart"/>
      <w:r>
        <w:rPr>
          <w:rFonts w:ascii="ArialMT" w:hAnsi="ArialMT" w:cs="ArialMT"/>
          <w:color w:val="272727"/>
          <w:sz w:val="24"/>
          <w:szCs w:val="24"/>
        </w:rPr>
        <w:t>90</w:t>
      </w:r>
      <w:proofErr w:type="gramEnd"/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da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 xml:space="preserve"> Lei Complementar nº 709, de 14 de janeiro de 1993, iniciando-se, a partir de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então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>, a contagem dos prazos processuais, conforme regras do Código de</w:t>
      </w:r>
    </w:p>
    <w:p w:rsidR="002F3238" w:rsidRDefault="002F3238" w:rsidP="002F32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Processo Civil;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d) as informações pessoais </w:t>
      </w:r>
      <w:proofErr w:type="gramStart"/>
      <w:r>
        <w:rPr>
          <w:rFonts w:ascii="ArialMT" w:hAnsi="ArialMT" w:cs="ArialMT"/>
          <w:color w:val="272727"/>
          <w:sz w:val="24"/>
          <w:szCs w:val="24"/>
        </w:rPr>
        <w:t>do(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>s) responsável(</w:t>
      </w:r>
      <w:proofErr w:type="spellStart"/>
      <w:r>
        <w:rPr>
          <w:rFonts w:ascii="ArialMT" w:hAnsi="ArialMT" w:cs="ArialMT"/>
          <w:color w:val="272727"/>
          <w:sz w:val="24"/>
          <w:szCs w:val="24"/>
        </w:rPr>
        <w:t>is</w:t>
      </w:r>
      <w:proofErr w:type="spellEnd"/>
      <w:r>
        <w:rPr>
          <w:rFonts w:ascii="ArialMT" w:hAnsi="ArialMT" w:cs="ArialMT"/>
          <w:color w:val="272727"/>
          <w:sz w:val="24"/>
          <w:szCs w:val="24"/>
        </w:rPr>
        <w:t>) pelo órgão concessor e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" w:hAnsi="Arial" w:cs="Arial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entidade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 xml:space="preserve"> beneficiária, estão cadastradas no módulo eletrônico do </w:t>
      </w:r>
      <w:r>
        <w:rPr>
          <w:rFonts w:ascii="Arial" w:hAnsi="Arial" w:cs="Arial"/>
          <w:color w:val="272727"/>
          <w:sz w:val="24"/>
          <w:szCs w:val="24"/>
        </w:rPr>
        <w:t>“Cadastro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Corporativo TCESP </w:t>
      </w:r>
      <w:r>
        <w:rPr>
          <w:rFonts w:ascii="Arial" w:hAnsi="Arial" w:cs="Arial"/>
          <w:color w:val="272727"/>
          <w:sz w:val="24"/>
          <w:szCs w:val="24"/>
        </w:rPr>
        <w:t xml:space="preserve">– </w:t>
      </w:r>
      <w:proofErr w:type="spellStart"/>
      <w:proofErr w:type="gramStart"/>
      <w:r>
        <w:rPr>
          <w:rFonts w:ascii="Arial" w:hAnsi="Arial" w:cs="Arial"/>
          <w:color w:val="272727"/>
          <w:sz w:val="24"/>
          <w:szCs w:val="24"/>
        </w:rPr>
        <w:t>CadTCESP</w:t>
      </w:r>
      <w:proofErr w:type="spellEnd"/>
      <w:proofErr w:type="gramEnd"/>
      <w:r>
        <w:rPr>
          <w:rFonts w:ascii="Arial" w:hAnsi="Arial" w:cs="Arial"/>
          <w:color w:val="272727"/>
          <w:sz w:val="24"/>
          <w:szCs w:val="24"/>
        </w:rPr>
        <w:t xml:space="preserve">”, </w:t>
      </w:r>
      <w:r>
        <w:rPr>
          <w:rFonts w:ascii="ArialMT" w:hAnsi="ArialMT" w:cs="ArialMT"/>
          <w:color w:val="272727"/>
          <w:sz w:val="24"/>
          <w:szCs w:val="24"/>
        </w:rPr>
        <w:t>nos termos previstos no Artigo 2º das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" w:hAnsi="Arial" w:cs="Arial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Instruções nº01/20</w:t>
      </w:r>
      <w:r>
        <w:rPr>
          <w:rFonts w:ascii="ArialMT" w:hAnsi="ArialMT" w:cs="ArialMT"/>
          <w:color w:val="FF2F37"/>
          <w:sz w:val="24"/>
          <w:szCs w:val="24"/>
        </w:rPr>
        <w:t>20</w:t>
      </w:r>
      <w:r>
        <w:rPr>
          <w:rFonts w:ascii="Arial" w:hAnsi="Arial" w:cs="Arial"/>
          <w:color w:val="272727"/>
          <w:sz w:val="24"/>
          <w:szCs w:val="24"/>
        </w:rPr>
        <w:t>, conforme “</w:t>
      </w:r>
      <w:proofErr w:type="gramStart"/>
      <w:r>
        <w:rPr>
          <w:rFonts w:ascii="Arial" w:hAnsi="Arial" w:cs="Arial"/>
          <w:color w:val="272727"/>
          <w:sz w:val="24"/>
          <w:szCs w:val="24"/>
        </w:rPr>
        <w:t>Declaração(</w:t>
      </w:r>
      <w:proofErr w:type="spellStart"/>
      <w:proofErr w:type="gramEnd"/>
      <w:r>
        <w:rPr>
          <w:rFonts w:ascii="Arial" w:hAnsi="Arial" w:cs="Arial"/>
          <w:color w:val="272727"/>
          <w:sz w:val="24"/>
          <w:szCs w:val="24"/>
        </w:rPr>
        <w:t>ões</w:t>
      </w:r>
      <w:proofErr w:type="spellEnd"/>
      <w:r>
        <w:rPr>
          <w:rFonts w:ascii="Arial" w:hAnsi="Arial" w:cs="Arial"/>
          <w:color w:val="272727"/>
          <w:sz w:val="24"/>
          <w:szCs w:val="24"/>
        </w:rPr>
        <w:t>) de Atualização Cadastral”</w:t>
      </w:r>
    </w:p>
    <w:p w:rsidR="002F3238" w:rsidRDefault="002F3238" w:rsidP="002F3238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anexa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 xml:space="preserve"> (s);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  <w:r>
        <w:rPr>
          <w:rFonts w:ascii="Arial-BoldMT" w:hAnsi="Arial-BoldMT" w:cs="Arial-BoldMT"/>
          <w:b/>
          <w:bCs/>
          <w:color w:val="272727"/>
          <w:sz w:val="24"/>
          <w:szCs w:val="24"/>
        </w:rPr>
        <w:lastRenderedPageBreak/>
        <w:t>2. Damo-nos por NOTIFICADOS para: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a) O acompanhamento dos atos do processo até seu julgamento final e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consequente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 xml:space="preserve"> publicação;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b) Se for o caso e de nosso interesse, nos prazos e nas formas legais </w:t>
      </w:r>
      <w:proofErr w:type="gramStart"/>
      <w:r>
        <w:rPr>
          <w:rFonts w:ascii="ArialMT" w:hAnsi="ArialMT" w:cs="ArialMT"/>
          <w:color w:val="272727"/>
          <w:sz w:val="24"/>
          <w:szCs w:val="24"/>
        </w:rPr>
        <w:t>e</w:t>
      </w:r>
      <w:proofErr w:type="gramEnd"/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regimentais</w:t>
      </w:r>
      <w:proofErr w:type="gramEnd"/>
      <w:r>
        <w:rPr>
          <w:rFonts w:ascii="ArialMT" w:hAnsi="ArialMT" w:cs="ArialMT"/>
          <w:color w:val="272727"/>
          <w:sz w:val="24"/>
          <w:szCs w:val="24"/>
        </w:rPr>
        <w:t>, exercer o direito de defesa, interpor recursos e o que mais couber.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</w:p>
    <w:p w:rsidR="00D16AB6" w:rsidRDefault="00D16AB6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</w:p>
    <w:p w:rsidR="00D16AB6" w:rsidRDefault="00D16AB6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</w:p>
    <w:p w:rsidR="002F3238" w:rsidRPr="000E46FE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color w:val="272727"/>
          <w:sz w:val="24"/>
          <w:szCs w:val="24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272727"/>
          <w:sz w:val="24"/>
          <w:szCs w:val="24"/>
        </w:rPr>
        <w:t xml:space="preserve">LOCAL e DATA: </w:t>
      </w:r>
      <w:r w:rsidR="000E46FE">
        <w:rPr>
          <w:rFonts w:ascii="Arial-BoldMT" w:hAnsi="Arial-BoldMT" w:cs="Arial-BoldMT"/>
          <w:bCs/>
          <w:color w:val="272727"/>
          <w:sz w:val="24"/>
          <w:szCs w:val="24"/>
        </w:rPr>
        <w:t>Santo André, 17 de Janeiro de 2022.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  <w:r>
        <w:rPr>
          <w:rFonts w:ascii="Arial-BoldMT" w:hAnsi="Arial-BoldMT" w:cs="Arial-BoldMT"/>
          <w:b/>
          <w:bCs/>
          <w:color w:val="272727"/>
          <w:sz w:val="24"/>
          <w:szCs w:val="24"/>
        </w:rPr>
        <w:t>AUTORIDADE MÁXIMA DO ÓRGÃO PÚBLICO CONCESSOR: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Nome:</w:t>
      </w:r>
      <w:r w:rsidR="00217CE8">
        <w:rPr>
          <w:rFonts w:ascii="ArialMT" w:hAnsi="ArialMT" w:cs="ArialMT"/>
          <w:color w:val="272727"/>
          <w:sz w:val="24"/>
          <w:szCs w:val="24"/>
        </w:rPr>
        <w:t xml:space="preserve"> Paulo Henrique Pinto Serra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Cargo: </w:t>
      </w:r>
      <w:r w:rsidR="00217CE8">
        <w:rPr>
          <w:rFonts w:ascii="ArialMT" w:hAnsi="ArialMT" w:cs="ArialMT"/>
          <w:color w:val="272727"/>
          <w:sz w:val="24"/>
          <w:szCs w:val="24"/>
        </w:rPr>
        <w:t>Prefeito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CPF:</w:t>
      </w:r>
      <w:proofErr w:type="gramEnd"/>
      <w:r w:rsidR="00217CE8">
        <w:rPr>
          <w:rFonts w:ascii="ArialMT" w:hAnsi="ArialMT" w:cs="ArialMT"/>
          <w:color w:val="272727"/>
          <w:sz w:val="24"/>
          <w:szCs w:val="24"/>
        </w:rPr>
        <w:t>166.685.608-81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  <w:r>
        <w:rPr>
          <w:rFonts w:ascii="Arial-BoldMT" w:hAnsi="Arial-BoldMT" w:cs="Arial-BoldMT"/>
          <w:b/>
          <w:bCs/>
          <w:color w:val="272727"/>
          <w:sz w:val="24"/>
          <w:szCs w:val="24"/>
        </w:rPr>
        <w:t>AUTORIDADE MÁXIMA DA ENTIDADE BENEFICIÁRIA: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Nome: </w:t>
      </w:r>
      <w:r w:rsidR="000F2813">
        <w:rPr>
          <w:rFonts w:ascii="ArialMT" w:hAnsi="ArialMT" w:cs="ArialMT"/>
          <w:color w:val="272727"/>
          <w:sz w:val="24"/>
          <w:szCs w:val="24"/>
        </w:rPr>
        <w:t xml:space="preserve">Mauro Sérgio </w:t>
      </w:r>
      <w:proofErr w:type="spellStart"/>
      <w:r w:rsidR="000F2813">
        <w:rPr>
          <w:rFonts w:ascii="ArialMT" w:hAnsi="ArialMT" w:cs="ArialMT"/>
          <w:color w:val="272727"/>
          <w:sz w:val="24"/>
          <w:szCs w:val="24"/>
        </w:rPr>
        <w:t>Armelin</w:t>
      </w:r>
      <w:proofErr w:type="spellEnd"/>
      <w:r w:rsidR="000F2813">
        <w:rPr>
          <w:rFonts w:ascii="ArialMT" w:hAnsi="ArialMT" w:cs="ArialMT"/>
          <w:color w:val="272727"/>
          <w:sz w:val="24"/>
          <w:szCs w:val="24"/>
        </w:rPr>
        <w:t xml:space="preserve"> Ferreira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Cargo: </w:t>
      </w:r>
      <w:r w:rsidR="000F2813">
        <w:rPr>
          <w:rFonts w:ascii="ArialMT" w:hAnsi="ArialMT" w:cs="ArialMT"/>
          <w:color w:val="272727"/>
          <w:sz w:val="24"/>
          <w:szCs w:val="24"/>
        </w:rPr>
        <w:t>Presidente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CPF:</w:t>
      </w:r>
      <w:r w:rsidR="000F6B33">
        <w:rPr>
          <w:rFonts w:ascii="ArialMT" w:hAnsi="ArialMT" w:cs="ArialMT"/>
          <w:color w:val="272727"/>
          <w:sz w:val="24"/>
          <w:szCs w:val="24"/>
        </w:rPr>
        <w:t xml:space="preserve"> </w:t>
      </w:r>
      <w:r w:rsidR="000F2813">
        <w:rPr>
          <w:rFonts w:ascii="ArialMT" w:hAnsi="ArialMT" w:cs="ArialMT"/>
          <w:color w:val="272727"/>
          <w:sz w:val="24"/>
          <w:szCs w:val="24"/>
        </w:rPr>
        <w:t>079.984.708-95</w:t>
      </w:r>
    </w:p>
    <w:p w:rsidR="000F2813" w:rsidRDefault="000F2813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Assinatura:______________________________________________________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  <w:r>
        <w:rPr>
          <w:rFonts w:ascii="Arial-BoldMT" w:hAnsi="Arial-BoldMT" w:cs="Arial-BoldMT"/>
          <w:b/>
          <w:bCs/>
          <w:color w:val="272727"/>
          <w:sz w:val="24"/>
          <w:szCs w:val="24"/>
        </w:rPr>
        <w:t>Responsáveis pelo repasse e/ou Parecer Conclusivo: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  <w:r>
        <w:rPr>
          <w:rFonts w:ascii="Arial-BoldMT" w:hAnsi="Arial-BoldMT" w:cs="Arial-BoldMT"/>
          <w:b/>
          <w:bCs/>
          <w:color w:val="272727"/>
          <w:sz w:val="24"/>
          <w:szCs w:val="24"/>
        </w:rPr>
        <w:t>PELO ÒRGÃO PÚBLICO CONCESSOR: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Nome:</w:t>
      </w:r>
      <w:r w:rsidR="00217CE8">
        <w:rPr>
          <w:rFonts w:ascii="ArialMT" w:hAnsi="ArialMT" w:cs="ArialMT"/>
          <w:color w:val="272727"/>
          <w:sz w:val="24"/>
          <w:szCs w:val="24"/>
        </w:rPr>
        <w:t xml:space="preserve"> Simone </w:t>
      </w:r>
      <w:proofErr w:type="spellStart"/>
      <w:r w:rsidR="00217CE8">
        <w:rPr>
          <w:rFonts w:ascii="ArialMT" w:hAnsi="ArialMT" w:cs="ArialMT"/>
          <w:color w:val="272727"/>
          <w:sz w:val="24"/>
          <w:szCs w:val="24"/>
        </w:rPr>
        <w:t>Zarate</w:t>
      </w:r>
      <w:proofErr w:type="spellEnd"/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Cargo: </w:t>
      </w:r>
      <w:r w:rsidR="00217CE8">
        <w:rPr>
          <w:rFonts w:ascii="ArialMT" w:hAnsi="ArialMT" w:cs="ArialMT"/>
          <w:color w:val="272727"/>
          <w:sz w:val="24"/>
          <w:szCs w:val="24"/>
        </w:rPr>
        <w:t>Secretária de Cultura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proofErr w:type="gramStart"/>
      <w:r>
        <w:rPr>
          <w:rFonts w:ascii="ArialMT" w:hAnsi="ArialMT" w:cs="ArialMT"/>
          <w:color w:val="272727"/>
          <w:sz w:val="24"/>
          <w:szCs w:val="24"/>
        </w:rPr>
        <w:t>CPF:</w:t>
      </w:r>
      <w:proofErr w:type="gramEnd"/>
      <w:r w:rsidR="00217CE8">
        <w:rPr>
          <w:rFonts w:ascii="ArialMT" w:hAnsi="ArialMT" w:cs="ArialMT"/>
          <w:color w:val="272727"/>
          <w:sz w:val="24"/>
          <w:szCs w:val="24"/>
        </w:rPr>
        <w:t>161.410.008-00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Assinatura: ______________________________________________________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  <w:r>
        <w:rPr>
          <w:rFonts w:ascii="Arial-BoldMT" w:hAnsi="Arial-BoldMT" w:cs="Arial-BoldMT"/>
          <w:b/>
          <w:bCs/>
          <w:color w:val="272727"/>
          <w:sz w:val="24"/>
          <w:szCs w:val="24"/>
        </w:rPr>
        <w:t>Responsáveis pela prestação de contas: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272727"/>
          <w:sz w:val="24"/>
          <w:szCs w:val="24"/>
        </w:rPr>
      </w:pPr>
      <w:r>
        <w:rPr>
          <w:rFonts w:ascii="Arial-BoldMT" w:hAnsi="Arial-BoldMT" w:cs="Arial-BoldMT"/>
          <w:b/>
          <w:bCs/>
          <w:color w:val="272727"/>
          <w:sz w:val="24"/>
          <w:szCs w:val="24"/>
        </w:rPr>
        <w:t>PELA ENTIDADE BENEFICIÁRIA:</w:t>
      </w:r>
    </w:p>
    <w:p w:rsidR="002F3238" w:rsidRDefault="00904786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Nome: Adriano </w:t>
      </w:r>
      <w:proofErr w:type="spellStart"/>
      <w:r>
        <w:rPr>
          <w:rFonts w:ascii="ArialMT" w:hAnsi="ArialMT" w:cs="ArialMT"/>
          <w:color w:val="272727"/>
          <w:sz w:val="24"/>
          <w:szCs w:val="24"/>
        </w:rPr>
        <w:t>Bernardello</w:t>
      </w:r>
      <w:proofErr w:type="spellEnd"/>
      <w:r>
        <w:rPr>
          <w:rFonts w:ascii="ArialMT" w:hAnsi="ArialMT" w:cs="ArialMT"/>
          <w:color w:val="272727"/>
          <w:sz w:val="24"/>
          <w:szCs w:val="24"/>
        </w:rPr>
        <w:t xml:space="preserve"> 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 xml:space="preserve">Cargo: </w:t>
      </w:r>
      <w:r w:rsidR="00904786">
        <w:rPr>
          <w:rFonts w:ascii="ArialMT" w:hAnsi="ArialMT" w:cs="ArialMT"/>
          <w:color w:val="272727"/>
          <w:sz w:val="24"/>
          <w:szCs w:val="24"/>
        </w:rPr>
        <w:t xml:space="preserve">Contador </w:t>
      </w:r>
    </w:p>
    <w:p w:rsidR="002F3238" w:rsidRDefault="00177F3C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CPF: 128.546.768-07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sz w:val="24"/>
          <w:szCs w:val="24"/>
        </w:rPr>
      </w:pPr>
      <w:r>
        <w:rPr>
          <w:rFonts w:ascii="ArialMT" w:hAnsi="ArialMT" w:cs="ArialMT"/>
          <w:color w:val="272727"/>
          <w:sz w:val="24"/>
          <w:szCs w:val="24"/>
        </w:rPr>
        <w:t>Assinatura: ______________________________________________________</w:t>
      </w:r>
    </w:p>
    <w:p w:rsidR="002F3238" w:rsidRDefault="002F3238" w:rsidP="002F3238">
      <w:pPr>
        <w:autoSpaceDE w:val="0"/>
        <w:autoSpaceDN w:val="0"/>
        <w:adjustRightInd w:val="0"/>
        <w:spacing w:after="0"/>
        <w:rPr>
          <w:rFonts w:ascii="ArialMT" w:hAnsi="ArialMT" w:cs="ArialMT"/>
          <w:color w:val="272727"/>
        </w:rPr>
      </w:pPr>
    </w:p>
    <w:p w:rsidR="00255739" w:rsidRDefault="00255739" w:rsidP="00255739">
      <w:pPr>
        <w:pBdr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MT" w:hAnsi="ArialMT" w:cs="ArialMT"/>
          <w:color w:val="272727"/>
          <w:u w:val="single"/>
        </w:rPr>
      </w:pPr>
      <w:r>
        <w:rPr>
          <w:rFonts w:ascii="Arial-BoldMT" w:hAnsi="Arial-BoldMT" w:cs="Arial-BoldMT"/>
          <w:b/>
          <w:bCs/>
          <w:color w:val="272727"/>
          <w:sz w:val="24"/>
          <w:szCs w:val="24"/>
        </w:rPr>
        <w:t>_______________________________________________________________</w:t>
      </w:r>
    </w:p>
    <w:p w:rsidR="002F3238" w:rsidRDefault="002F3238" w:rsidP="0025573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72727"/>
        </w:rPr>
      </w:pPr>
      <w:r>
        <w:rPr>
          <w:rFonts w:ascii="ArialMT" w:hAnsi="ArialMT" w:cs="ArialMT"/>
          <w:color w:val="272727"/>
        </w:rPr>
        <w:t xml:space="preserve">(*) Facultativo. Indicar quando já constituído, informando, inclusive, o </w:t>
      </w:r>
      <w:proofErr w:type="gramStart"/>
      <w:r>
        <w:rPr>
          <w:rFonts w:ascii="ArialMT" w:hAnsi="ArialMT" w:cs="ArialMT"/>
          <w:color w:val="272727"/>
        </w:rPr>
        <w:t>endereço</w:t>
      </w:r>
      <w:proofErr w:type="gramEnd"/>
    </w:p>
    <w:p w:rsidR="00CC7CF6" w:rsidRDefault="002F3238" w:rsidP="00255739">
      <w:pPr>
        <w:spacing w:line="240" w:lineRule="auto"/>
      </w:pPr>
      <w:proofErr w:type="gramStart"/>
      <w:r>
        <w:rPr>
          <w:rFonts w:ascii="ArialMT" w:hAnsi="ArialMT" w:cs="ArialMT"/>
          <w:color w:val="272727"/>
        </w:rPr>
        <w:t>eletrônico</w:t>
      </w:r>
      <w:proofErr w:type="gramEnd"/>
      <w:r>
        <w:rPr>
          <w:rFonts w:ascii="ArialMT" w:hAnsi="ArialMT" w:cs="ArialMT"/>
          <w:color w:val="272727"/>
        </w:rPr>
        <w:t>.</w:t>
      </w:r>
    </w:p>
    <w:sectPr w:rsidR="00CC7CF6" w:rsidSect="00CC7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38"/>
    <w:rsid w:val="000E46FE"/>
    <w:rsid w:val="000F2813"/>
    <w:rsid w:val="000F6B33"/>
    <w:rsid w:val="00177F3C"/>
    <w:rsid w:val="001E5A34"/>
    <w:rsid w:val="00217CE8"/>
    <w:rsid w:val="00255739"/>
    <w:rsid w:val="002F3238"/>
    <w:rsid w:val="0045001A"/>
    <w:rsid w:val="004E7209"/>
    <w:rsid w:val="007A708D"/>
    <w:rsid w:val="00904786"/>
    <w:rsid w:val="00C91333"/>
    <w:rsid w:val="00CC7CF6"/>
    <w:rsid w:val="00D1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 Andre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albribeiro</dc:creator>
  <cp:lastModifiedBy>Usuario</cp:lastModifiedBy>
  <cp:revision>13</cp:revision>
  <dcterms:created xsi:type="dcterms:W3CDTF">2022-01-06T11:25:00Z</dcterms:created>
  <dcterms:modified xsi:type="dcterms:W3CDTF">2022-01-11T02:14:00Z</dcterms:modified>
</cp:coreProperties>
</file>